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988A6" w14:textId="77777777" w:rsidR="006C3A1E" w:rsidRDefault="006C3A1E" w:rsidP="006C3A1E">
      <w:pPr>
        <w:pStyle w:val="Default"/>
      </w:pPr>
    </w:p>
    <w:p w14:paraId="5BEEE365" w14:textId="0FBA8195" w:rsidR="001C5CEF" w:rsidRDefault="006C3A1E" w:rsidP="00C83105">
      <w:pPr>
        <w:jc w:val="center"/>
        <w:rPr>
          <w:b/>
          <w:bCs/>
          <w:sz w:val="28"/>
          <w:szCs w:val="28"/>
          <w:u w:val="single"/>
        </w:rPr>
      </w:pPr>
      <w:r w:rsidRPr="006C3A1E">
        <w:rPr>
          <w:b/>
          <w:bCs/>
          <w:sz w:val="28"/>
          <w:szCs w:val="28"/>
          <w:u w:val="single"/>
        </w:rPr>
        <w:t xml:space="preserve">Volunteer Counsellor - Overview </w:t>
      </w:r>
      <w:r w:rsidR="00723C77">
        <w:rPr>
          <w:b/>
          <w:bCs/>
          <w:sz w:val="28"/>
          <w:szCs w:val="28"/>
          <w:u w:val="single"/>
        </w:rPr>
        <w:t>o</w:t>
      </w:r>
      <w:r w:rsidRPr="006C3A1E">
        <w:rPr>
          <w:b/>
          <w:bCs/>
          <w:sz w:val="28"/>
          <w:szCs w:val="28"/>
          <w:u w:val="single"/>
        </w:rPr>
        <w:t>f Main Duties</w:t>
      </w:r>
    </w:p>
    <w:p w14:paraId="76B25A3F" w14:textId="77777777" w:rsidR="001C5CEF" w:rsidRDefault="001C5CEF" w:rsidP="001C5CEF">
      <w:pPr>
        <w:pStyle w:val="Default"/>
      </w:pPr>
    </w:p>
    <w:p w14:paraId="333D12AE" w14:textId="1C13BC28" w:rsidR="001C5CEF" w:rsidRPr="00723C77" w:rsidRDefault="001C5CEF" w:rsidP="001C5CEF">
      <w:pPr>
        <w:pStyle w:val="Default"/>
        <w:rPr>
          <w:color w:val="auto"/>
          <w:sz w:val="23"/>
          <w:szCs w:val="23"/>
        </w:rPr>
      </w:pPr>
      <w:r w:rsidRPr="00723C77">
        <w:rPr>
          <w:color w:val="auto"/>
          <w:sz w:val="23"/>
          <w:szCs w:val="23"/>
        </w:rPr>
        <w:t xml:space="preserve">[1] Operate to and comply with BACP Ethical Framework for the Counselling Professions, and </w:t>
      </w:r>
      <w:r w:rsidR="000D6A6D" w:rsidRPr="00723C77">
        <w:rPr>
          <w:color w:val="auto"/>
          <w:sz w:val="23"/>
          <w:szCs w:val="23"/>
        </w:rPr>
        <w:t>Carrs Lane Counselling Centre Ltd (</w:t>
      </w:r>
      <w:r w:rsidRPr="00723C77">
        <w:rPr>
          <w:color w:val="auto"/>
          <w:sz w:val="23"/>
          <w:szCs w:val="23"/>
        </w:rPr>
        <w:t>CLCC</w:t>
      </w:r>
      <w:r w:rsidR="000D6A6D" w:rsidRPr="00723C77">
        <w:rPr>
          <w:color w:val="auto"/>
          <w:sz w:val="23"/>
          <w:szCs w:val="23"/>
        </w:rPr>
        <w:t>)</w:t>
      </w:r>
      <w:r w:rsidRPr="00723C77">
        <w:rPr>
          <w:color w:val="auto"/>
          <w:sz w:val="23"/>
          <w:szCs w:val="23"/>
        </w:rPr>
        <w:t xml:space="preserve"> </w:t>
      </w:r>
      <w:r w:rsidR="00CF3BEE" w:rsidRPr="00723C77">
        <w:rPr>
          <w:color w:val="auto"/>
          <w:sz w:val="23"/>
          <w:szCs w:val="23"/>
        </w:rPr>
        <w:t>p</w:t>
      </w:r>
      <w:r w:rsidRPr="00723C77">
        <w:rPr>
          <w:color w:val="auto"/>
          <w:sz w:val="23"/>
          <w:szCs w:val="23"/>
        </w:rPr>
        <w:t xml:space="preserve">olicies and </w:t>
      </w:r>
      <w:r w:rsidR="00CF3BEE" w:rsidRPr="00723C77">
        <w:rPr>
          <w:color w:val="auto"/>
          <w:sz w:val="23"/>
          <w:szCs w:val="23"/>
        </w:rPr>
        <w:t>p</w:t>
      </w:r>
      <w:r w:rsidRPr="00723C77">
        <w:rPr>
          <w:color w:val="auto"/>
          <w:sz w:val="23"/>
          <w:szCs w:val="23"/>
        </w:rPr>
        <w:t xml:space="preserve">rocedures. </w:t>
      </w:r>
    </w:p>
    <w:p w14:paraId="09479641" w14:textId="77777777" w:rsidR="001C5CEF" w:rsidRPr="00723C77" w:rsidRDefault="001C5CEF" w:rsidP="001C5CEF">
      <w:pPr>
        <w:pStyle w:val="Default"/>
        <w:rPr>
          <w:color w:val="auto"/>
          <w:sz w:val="23"/>
          <w:szCs w:val="23"/>
        </w:rPr>
      </w:pPr>
    </w:p>
    <w:p w14:paraId="49027759" w14:textId="3C261948" w:rsidR="001C5CEF" w:rsidRPr="00723C77" w:rsidRDefault="001C5CEF" w:rsidP="001C5CEF">
      <w:pPr>
        <w:pStyle w:val="Default"/>
        <w:rPr>
          <w:color w:val="auto"/>
          <w:sz w:val="23"/>
          <w:szCs w:val="23"/>
        </w:rPr>
      </w:pPr>
      <w:r w:rsidRPr="00723C77">
        <w:rPr>
          <w:color w:val="auto"/>
          <w:sz w:val="23"/>
          <w:szCs w:val="23"/>
        </w:rPr>
        <w:t xml:space="preserve">[2] Provide counselling to adult clients of </w:t>
      </w:r>
      <w:r w:rsidR="000D6A6D" w:rsidRPr="00723C77">
        <w:rPr>
          <w:color w:val="auto"/>
          <w:sz w:val="23"/>
          <w:szCs w:val="23"/>
        </w:rPr>
        <w:t xml:space="preserve">CLC </w:t>
      </w:r>
      <w:r w:rsidRPr="00723C77">
        <w:rPr>
          <w:color w:val="auto"/>
          <w:sz w:val="23"/>
          <w:szCs w:val="23"/>
        </w:rPr>
        <w:t xml:space="preserve">C, in accordance with the </w:t>
      </w:r>
      <w:r w:rsidR="000D6A6D" w:rsidRPr="00723C77">
        <w:rPr>
          <w:color w:val="auto"/>
          <w:sz w:val="23"/>
          <w:szCs w:val="23"/>
        </w:rPr>
        <w:t xml:space="preserve">CLCC Ltd </w:t>
      </w:r>
      <w:r w:rsidRPr="00723C77">
        <w:rPr>
          <w:color w:val="auto"/>
          <w:sz w:val="23"/>
          <w:szCs w:val="23"/>
        </w:rPr>
        <w:t xml:space="preserve">Model Statement. </w:t>
      </w:r>
    </w:p>
    <w:p w14:paraId="063CA706" w14:textId="77777777" w:rsidR="001C5CEF" w:rsidRPr="00723C77" w:rsidRDefault="001C5CEF" w:rsidP="001C5CEF">
      <w:pPr>
        <w:pStyle w:val="Default"/>
        <w:rPr>
          <w:i/>
          <w:iCs/>
          <w:color w:val="auto"/>
          <w:sz w:val="23"/>
          <w:szCs w:val="23"/>
        </w:rPr>
      </w:pPr>
    </w:p>
    <w:p w14:paraId="7EA97EE0" w14:textId="5584CB72" w:rsidR="001C5CEF" w:rsidRPr="00723C77" w:rsidRDefault="001C5CEF" w:rsidP="001C5CEF">
      <w:pPr>
        <w:pStyle w:val="Default"/>
        <w:rPr>
          <w:i/>
          <w:iCs/>
          <w:color w:val="auto"/>
          <w:sz w:val="23"/>
          <w:szCs w:val="23"/>
        </w:rPr>
      </w:pPr>
      <w:r w:rsidRPr="00723C77">
        <w:rPr>
          <w:i/>
          <w:iCs/>
          <w:color w:val="auto"/>
          <w:sz w:val="23"/>
          <w:szCs w:val="23"/>
        </w:rPr>
        <w:t xml:space="preserve">Note: All clients </w:t>
      </w:r>
      <w:proofErr w:type="gramStart"/>
      <w:r w:rsidRPr="00723C77">
        <w:rPr>
          <w:i/>
          <w:iCs/>
          <w:color w:val="auto"/>
          <w:sz w:val="23"/>
          <w:szCs w:val="23"/>
        </w:rPr>
        <w:t>are</w:t>
      </w:r>
      <w:r w:rsidR="00723C77" w:rsidRPr="00723C77">
        <w:rPr>
          <w:i/>
          <w:iCs/>
          <w:strike/>
          <w:color w:val="auto"/>
          <w:sz w:val="23"/>
          <w:szCs w:val="23"/>
        </w:rPr>
        <w:t xml:space="preserve"> </w:t>
      </w:r>
      <w:r w:rsidRPr="00723C77">
        <w:rPr>
          <w:i/>
          <w:iCs/>
          <w:color w:val="auto"/>
          <w:sz w:val="23"/>
          <w:szCs w:val="23"/>
        </w:rPr>
        <w:t xml:space="preserve"> assessed</w:t>
      </w:r>
      <w:proofErr w:type="gramEnd"/>
      <w:r w:rsidR="000D6A6D" w:rsidRPr="00723C77">
        <w:rPr>
          <w:i/>
          <w:iCs/>
          <w:color w:val="auto"/>
          <w:sz w:val="23"/>
          <w:szCs w:val="23"/>
        </w:rPr>
        <w:t xml:space="preserve"> by telephone</w:t>
      </w:r>
      <w:r w:rsidRPr="00723C77">
        <w:rPr>
          <w:i/>
          <w:iCs/>
          <w:color w:val="auto"/>
          <w:sz w:val="23"/>
          <w:szCs w:val="23"/>
        </w:rPr>
        <w:t xml:space="preserve">, added to </w:t>
      </w:r>
      <w:r w:rsidR="000D6A6D" w:rsidRPr="00723C77">
        <w:rPr>
          <w:i/>
          <w:iCs/>
          <w:color w:val="auto"/>
          <w:sz w:val="23"/>
          <w:szCs w:val="23"/>
        </w:rPr>
        <w:t xml:space="preserve">the </w:t>
      </w:r>
      <w:r w:rsidRPr="00723C77">
        <w:rPr>
          <w:i/>
          <w:iCs/>
          <w:color w:val="auto"/>
          <w:sz w:val="23"/>
          <w:szCs w:val="23"/>
        </w:rPr>
        <w:t xml:space="preserve">waiting list, and then allocated to a counsellor. </w:t>
      </w:r>
      <w:r w:rsidRPr="00723C77">
        <w:rPr>
          <w:color w:val="auto"/>
          <w:sz w:val="23"/>
          <w:szCs w:val="23"/>
        </w:rPr>
        <w:t>Counsellors</w:t>
      </w:r>
      <w:r w:rsidR="00723C77" w:rsidRPr="00723C77">
        <w:rPr>
          <w:color w:val="auto"/>
          <w:sz w:val="23"/>
          <w:szCs w:val="23"/>
        </w:rPr>
        <w:t xml:space="preserve"> </w:t>
      </w:r>
      <w:r w:rsidRPr="00723C77">
        <w:rPr>
          <w:color w:val="auto"/>
          <w:sz w:val="23"/>
          <w:szCs w:val="23"/>
        </w:rPr>
        <w:t>conduct</w:t>
      </w:r>
      <w:r w:rsidRPr="00723C77">
        <w:rPr>
          <w:i/>
          <w:iCs/>
          <w:color w:val="auto"/>
          <w:sz w:val="23"/>
          <w:szCs w:val="23"/>
        </w:rPr>
        <w:t xml:space="preserve"> their own initial assessment </w:t>
      </w:r>
      <w:r w:rsidR="000D6A6D" w:rsidRPr="00723C77">
        <w:rPr>
          <w:i/>
          <w:iCs/>
          <w:color w:val="auto"/>
          <w:sz w:val="23"/>
          <w:szCs w:val="23"/>
        </w:rPr>
        <w:t xml:space="preserve">with the </w:t>
      </w:r>
      <w:r w:rsidRPr="00723C77">
        <w:rPr>
          <w:i/>
          <w:iCs/>
          <w:color w:val="auto"/>
          <w:sz w:val="23"/>
          <w:szCs w:val="23"/>
        </w:rPr>
        <w:t xml:space="preserve">client to ensure their suitability to work with the client. The modality for client assessment and counselling is normally face-to-face, however, if trained, and with </w:t>
      </w:r>
      <w:r w:rsidR="000D6A6D" w:rsidRPr="00723C77">
        <w:rPr>
          <w:i/>
          <w:iCs/>
          <w:color w:val="auto"/>
          <w:sz w:val="23"/>
          <w:szCs w:val="23"/>
        </w:rPr>
        <w:t>the m</w:t>
      </w:r>
      <w:r w:rsidRPr="00723C77">
        <w:rPr>
          <w:i/>
          <w:iCs/>
          <w:color w:val="auto"/>
          <w:sz w:val="23"/>
          <w:szCs w:val="23"/>
        </w:rPr>
        <w:t xml:space="preserve">anager’s permission, the counsellor may be permitted to work remotely. Counsellors must have approval of their initial assessment by their CLCC Ltd Clinical Supervisor prior to contracting with </w:t>
      </w:r>
      <w:r w:rsidR="000D6A6D" w:rsidRPr="00723C77">
        <w:rPr>
          <w:i/>
          <w:iCs/>
          <w:color w:val="auto"/>
          <w:sz w:val="23"/>
          <w:szCs w:val="23"/>
        </w:rPr>
        <w:t xml:space="preserve">the </w:t>
      </w:r>
      <w:r w:rsidRPr="00723C77">
        <w:rPr>
          <w:i/>
          <w:iCs/>
          <w:color w:val="auto"/>
          <w:sz w:val="23"/>
          <w:szCs w:val="23"/>
        </w:rPr>
        <w:t xml:space="preserve">client, in blocks of six weekly sessions at a time, up to a maximum of 30 sessions. </w:t>
      </w:r>
    </w:p>
    <w:p w14:paraId="56659AB4" w14:textId="77777777" w:rsidR="001C5CEF" w:rsidRPr="00723C77" w:rsidRDefault="001C5CEF" w:rsidP="001C5CEF">
      <w:pPr>
        <w:pStyle w:val="Default"/>
        <w:rPr>
          <w:color w:val="auto"/>
          <w:sz w:val="23"/>
          <w:szCs w:val="23"/>
        </w:rPr>
      </w:pPr>
    </w:p>
    <w:p w14:paraId="477546A5" w14:textId="3942BB69" w:rsidR="001C5CEF" w:rsidRPr="00723C77" w:rsidRDefault="001C5CEF" w:rsidP="001C5CEF">
      <w:pPr>
        <w:pStyle w:val="Default"/>
        <w:rPr>
          <w:color w:val="auto"/>
          <w:sz w:val="23"/>
          <w:szCs w:val="23"/>
        </w:rPr>
      </w:pPr>
      <w:r w:rsidRPr="00723C77">
        <w:rPr>
          <w:color w:val="auto"/>
          <w:sz w:val="23"/>
          <w:szCs w:val="23"/>
        </w:rPr>
        <w:t>[3] Counsellors must attend two-hour monthly group clinical supervision of their casework, and have additional one to one clinical supervision</w:t>
      </w:r>
      <w:r w:rsidR="000D6A6D" w:rsidRPr="00723C77">
        <w:rPr>
          <w:color w:val="auto"/>
          <w:sz w:val="23"/>
          <w:szCs w:val="23"/>
        </w:rPr>
        <w:t>,</w:t>
      </w:r>
      <w:r w:rsidRPr="00723C77">
        <w:rPr>
          <w:color w:val="auto"/>
          <w:sz w:val="23"/>
          <w:szCs w:val="23"/>
        </w:rPr>
        <w:t xml:space="preserve"> where required</w:t>
      </w:r>
      <w:r w:rsidR="000D6A6D" w:rsidRPr="00723C77">
        <w:rPr>
          <w:color w:val="auto"/>
          <w:sz w:val="23"/>
          <w:szCs w:val="23"/>
        </w:rPr>
        <w:t>,</w:t>
      </w:r>
      <w:r w:rsidRPr="00723C77">
        <w:rPr>
          <w:color w:val="auto"/>
          <w:sz w:val="23"/>
          <w:szCs w:val="23"/>
        </w:rPr>
        <w:t xml:space="preserve"> to maintain professional standards. </w:t>
      </w:r>
    </w:p>
    <w:p w14:paraId="23007B75" w14:textId="77777777" w:rsidR="001C5CEF" w:rsidRPr="00723C77" w:rsidRDefault="001C5CEF" w:rsidP="001C5CEF">
      <w:pPr>
        <w:pStyle w:val="Default"/>
        <w:rPr>
          <w:color w:val="auto"/>
          <w:sz w:val="23"/>
          <w:szCs w:val="23"/>
        </w:rPr>
      </w:pPr>
    </w:p>
    <w:p w14:paraId="7923F7BD" w14:textId="3BB40F4C" w:rsidR="001C5CEF" w:rsidRPr="00723C77" w:rsidRDefault="001C5CEF" w:rsidP="001C5CEF">
      <w:pPr>
        <w:pStyle w:val="Default"/>
        <w:rPr>
          <w:color w:val="auto"/>
          <w:sz w:val="23"/>
          <w:szCs w:val="23"/>
        </w:rPr>
      </w:pPr>
      <w:r w:rsidRPr="00723C77">
        <w:rPr>
          <w:color w:val="auto"/>
          <w:sz w:val="23"/>
          <w:szCs w:val="23"/>
        </w:rPr>
        <w:t xml:space="preserve">[4] Counsellors must issue </w:t>
      </w:r>
      <w:r w:rsidR="000D6A6D" w:rsidRPr="00723C77">
        <w:rPr>
          <w:color w:val="auto"/>
          <w:sz w:val="23"/>
          <w:szCs w:val="23"/>
        </w:rPr>
        <w:t xml:space="preserve">the relevant CLCC Ltd </w:t>
      </w:r>
      <w:r w:rsidRPr="00723C77">
        <w:rPr>
          <w:color w:val="auto"/>
          <w:sz w:val="23"/>
          <w:szCs w:val="23"/>
        </w:rPr>
        <w:t xml:space="preserve">documentation to clients (e.g. PHQ-9 and GAD 7), ensure these are all completed correctly, and maintain accurate records of attendance. </w:t>
      </w:r>
    </w:p>
    <w:p w14:paraId="102A6DD0" w14:textId="77777777" w:rsidR="001C5CEF" w:rsidRPr="00723C77" w:rsidRDefault="001C5CEF" w:rsidP="001C5CEF">
      <w:pPr>
        <w:pStyle w:val="Default"/>
        <w:rPr>
          <w:color w:val="auto"/>
          <w:sz w:val="23"/>
          <w:szCs w:val="23"/>
        </w:rPr>
      </w:pPr>
    </w:p>
    <w:p w14:paraId="73E3F8A8" w14:textId="3EE9C45F" w:rsidR="001C5CEF" w:rsidRPr="00723C77" w:rsidRDefault="001C5CEF" w:rsidP="001C5CEF">
      <w:pPr>
        <w:pStyle w:val="Default"/>
        <w:rPr>
          <w:color w:val="auto"/>
          <w:sz w:val="23"/>
          <w:szCs w:val="23"/>
        </w:rPr>
      </w:pPr>
      <w:r w:rsidRPr="00723C77">
        <w:rPr>
          <w:color w:val="auto"/>
          <w:sz w:val="23"/>
          <w:szCs w:val="23"/>
        </w:rPr>
        <w:t>[5] Counsellors must attend inhouse training / CPD events where mandated by</w:t>
      </w:r>
      <w:r w:rsidR="00CF3BEE" w:rsidRPr="00723C77">
        <w:rPr>
          <w:color w:val="auto"/>
          <w:sz w:val="23"/>
          <w:szCs w:val="23"/>
        </w:rPr>
        <w:t xml:space="preserve"> CLCC.</w:t>
      </w:r>
      <w:r w:rsidRPr="00723C77">
        <w:rPr>
          <w:color w:val="auto"/>
          <w:sz w:val="23"/>
          <w:szCs w:val="23"/>
        </w:rPr>
        <w:t xml:space="preserve"> </w:t>
      </w:r>
    </w:p>
    <w:p w14:paraId="532BD174" w14:textId="77777777" w:rsidR="001C5CEF" w:rsidRPr="00723C77" w:rsidRDefault="001C5CEF" w:rsidP="001C5CEF">
      <w:pPr>
        <w:pStyle w:val="Default"/>
        <w:rPr>
          <w:color w:val="auto"/>
          <w:sz w:val="23"/>
          <w:szCs w:val="23"/>
        </w:rPr>
      </w:pPr>
    </w:p>
    <w:p w14:paraId="04903D72" w14:textId="014367F1" w:rsidR="001C5CEF" w:rsidRPr="00723C77" w:rsidRDefault="001C5CEF" w:rsidP="001C5CEF">
      <w:pPr>
        <w:pStyle w:val="Default"/>
        <w:rPr>
          <w:color w:val="auto"/>
          <w:sz w:val="23"/>
          <w:szCs w:val="23"/>
        </w:rPr>
      </w:pPr>
      <w:r w:rsidRPr="00723C77">
        <w:rPr>
          <w:color w:val="auto"/>
          <w:sz w:val="23"/>
          <w:szCs w:val="23"/>
        </w:rPr>
        <w:t xml:space="preserve">[6] Counsellors must raise any safeguarding concerns to their allocated supervisor or the </w:t>
      </w:r>
      <w:r w:rsidR="00CF3BEE" w:rsidRPr="00723C77">
        <w:rPr>
          <w:color w:val="auto"/>
          <w:sz w:val="23"/>
          <w:szCs w:val="23"/>
        </w:rPr>
        <w:t xml:space="preserve">Counselling </w:t>
      </w:r>
      <w:r w:rsidRPr="00723C77">
        <w:rPr>
          <w:color w:val="auto"/>
          <w:sz w:val="23"/>
          <w:szCs w:val="23"/>
        </w:rPr>
        <w:t>Centre Manager or Clinical Lead Officer in accordance with the emergency referral procedure.</w:t>
      </w:r>
    </w:p>
    <w:p w14:paraId="716D1822" w14:textId="77777777" w:rsidR="003D7BFE" w:rsidRDefault="003D7BFE" w:rsidP="001C5CEF">
      <w:pPr>
        <w:pStyle w:val="Default"/>
        <w:rPr>
          <w:sz w:val="23"/>
          <w:szCs w:val="23"/>
        </w:rPr>
      </w:pPr>
    </w:p>
    <w:p w14:paraId="644A987B" w14:textId="77777777" w:rsidR="003D7BFE" w:rsidRDefault="003D7BFE" w:rsidP="003D7BFE">
      <w:pPr>
        <w:spacing w:after="177"/>
        <w:ind w:right="4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80AABE5" w14:textId="77777777" w:rsidR="003D7BFE" w:rsidRDefault="003D7BFE" w:rsidP="003D7BFE">
      <w:pPr>
        <w:spacing w:after="177"/>
        <w:ind w:right="4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3B009DF" w14:textId="77777777" w:rsidR="003D7BFE" w:rsidRDefault="003D7BFE" w:rsidP="003D7BFE">
      <w:pPr>
        <w:spacing w:after="177"/>
        <w:ind w:right="4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6FF7AC4" w14:textId="77777777" w:rsidR="003D7BFE" w:rsidRDefault="003D7BFE" w:rsidP="003D7BFE">
      <w:pPr>
        <w:spacing w:after="177"/>
        <w:ind w:right="4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6B963B7" w14:textId="77777777" w:rsidR="003D7BFE" w:rsidRDefault="003D7BFE" w:rsidP="003D7BFE">
      <w:pPr>
        <w:spacing w:after="177"/>
        <w:ind w:right="4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6F216E2" w14:textId="77777777" w:rsidR="003D7BFE" w:rsidRDefault="003D7BFE" w:rsidP="003D7BFE">
      <w:pPr>
        <w:spacing w:after="177"/>
        <w:ind w:right="4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26D284B" w14:textId="77777777" w:rsidR="00817825" w:rsidRDefault="00817825" w:rsidP="003D7BFE">
      <w:pPr>
        <w:spacing w:after="177"/>
        <w:ind w:right="4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931C265" w14:textId="77777777" w:rsidR="00817825" w:rsidRPr="00817825" w:rsidRDefault="00817825" w:rsidP="003D7BFE">
      <w:pPr>
        <w:spacing w:after="177"/>
        <w:ind w:right="4"/>
        <w:jc w:val="center"/>
        <w:rPr>
          <w:rFonts w:ascii="Arial" w:eastAsia="Calibri" w:hAnsi="Arial" w:cs="Arial"/>
          <w:b/>
        </w:rPr>
      </w:pPr>
    </w:p>
    <w:p w14:paraId="66CB069F" w14:textId="20AF9978" w:rsidR="006C1BBE" w:rsidRPr="00817825" w:rsidRDefault="00817825" w:rsidP="00817825">
      <w:pPr>
        <w:spacing w:after="177"/>
        <w:ind w:right="4"/>
        <w:rPr>
          <w:rFonts w:ascii="Arial" w:eastAsia="Calibri" w:hAnsi="Arial" w:cs="Arial"/>
        </w:rPr>
      </w:pPr>
      <w:r w:rsidRPr="00817825">
        <w:rPr>
          <w:rFonts w:ascii="Arial" w:eastAsia="Calibri" w:hAnsi="Arial" w:cs="Arial"/>
        </w:rPr>
        <w:t>Updated 01.10.2024 Counselling Centre Manager</w:t>
      </w:r>
    </w:p>
    <w:p w14:paraId="1BBCEC98" w14:textId="7AD209B3" w:rsidR="003D7BFE" w:rsidRPr="005C7DE7" w:rsidRDefault="003D7BFE" w:rsidP="003D7BFE">
      <w:pPr>
        <w:spacing w:after="177"/>
        <w:ind w:right="4"/>
        <w:jc w:val="center"/>
        <w:rPr>
          <w:rFonts w:ascii="Arial" w:hAnsi="Arial" w:cs="Arial"/>
          <w:sz w:val="24"/>
          <w:szCs w:val="24"/>
        </w:rPr>
      </w:pPr>
      <w:r w:rsidRPr="005C7DE7">
        <w:rPr>
          <w:rFonts w:ascii="Arial" w:eastAsia="Calibri" w:hAnsi="Arial" w:cs="Arial"/>
          <w:b/>
          <w:sz w:val="24"/>
          <w:szCs w:val="24"/>
        </w:rPr>
        <w:lastRenderedPageBreak/>
        <w:t xml:space="preserve">Person Specification for a </w:t>
      </w:r>
      <w:r w:rsidR="000D4B24">
        <w:rPr>
          <w:rFonts w:ascii="Arial" w:eastAsia="Calibri" w:hAnsi="Arial" w:cs="Arial"/>
          <w:b/>
          <w:sz w:val="24"/>
          <w:szCs w:val="24"/>
        </w:rPr>
        <w:t>Volunteer</w:t>
      </w:r>
      <w:r w:rsidRPr="005C7DE7">
        <w:rPr>
          <w:rFonts w:ascii="Arial" w:eastAsia="Calibri" w:hAnsi="Arial" w:cs="Arial"/>
          <w:b/>
          <w:sz w:val="24"/>
          <w:szCs w:val="24"/>
        </w:rPr>
        <w:t xml:space="preserve"> Counsellor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2"/>
        <w:gridCol w:w="2946"/>
        <w:gridCol w:w="3138"/>
      </w:tblGrid>
      <w:tr w:rsidR="003D7BFE" w:rsidRPr="005C7DE7" w14:paraId="7B662CC7" w14:textId="77777777" w:rsidTr="002942ED">
        <w:tc>
          <w:tcPr>
            <w:tcW w:w="3005" w:type="dxa"/>
          </w:tcPr>
          <w:p w14:paraId="39CD4558" w14:textId="77777777" w:rsidR="003D7BFE" w:rsidRPr="005C7DE7" w:rsidRDefault="003D7BFE" w:rsidP="002942ED">
            <w:pPr>
              <w:jc w:val="center"/>
              <w:rPr>
                <w:b/>
                <w:bCs/>
              </w:rPr>
            </w:pPr>
            <w:r w:rsidRPr="005C7DE7">
              <w:rPr>
                <w:rFonts w:eastAsia="Calibri"/>
                <w:b/>
              </w:rPr>
              <w:t>Item</w:t>
            </w:r>
          </w:p>
        </w:tc>
        <w:tc>
          <w:tcPr>
            <w:tcW w:w="3005" w:type="dxa"/>
          </w:tcPr>
          <w:p w14:paraId="12EA130E" w14:textId="77777777" w:rsidR="003D7BFE" w:rsidRPr="005C7DE7" w:rsidRDefault="003D7BFE" w:rsidP="002942ED">
            <w:pPr>
              <w:jc w:val="center"/>
              <w:rPr>
                <w:b/>
                <w:bCs/>
              </w:rPr>
            </w:pPr>
            <w:r w:rsidRPr="005C7DE7">
              <w:rPr>
                <w:rFonts w:eastAsia="Calibri"/>
                <w:b/>
              </w:rPr>
              <w:t>Essential</w:t>
            </w:r>
          </w:p>
        </w:tc>
        <w:tc>
          <w:tcPr>
            <w:tcW w:w="3006" w:type="dxa"/>
          </w:tcPr>
          <w:p w14:paraId="38E9C638" w14:textId="77777777" w:rsidR="003D7BFE" w:rsidRPr="005C7DE7" w:rsidRDefault="003D7BFE" w:rsidP="002942ED">
            <w:pPr>
              <w:jc w:val="center"/>
              <w:rPr>
                <w:b/>
                <w:bCs/>
              </w:rPr>
            </w:pPr>
            <w:r w:rsidRPr="005C7DE7">
              <w:rPr>
                <w:rFonts w:eastAsia="Calibri"/>
                <w:b/>
              </w:rPr>
              <w:t>Desirable</w:t>
            </w:r>
          </w:p>
        </w:tc>
      </w:tr>
      <w:tr w:rsidR="003D7BFE" w:rsidRPr="005C7DE7" w14:paraId="3F35407B" w14:textId="77777777" w:rsidTr="002942ED">
        <w:tc>
          <w:tcPr>
            <w:tcW w:w="3005" w:type="dxa"/>
          </w:tcPr>
          <w:p w14:paraId="19D0D7B7" w14:textId="76101C8D" w:rsidR="003D7BFE" w:rsidRPr="005C7DE7" w:rsidRDefault="006E3E73" w:rsidP="002942ED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  <w:p w14:paraId="7BF0400C" w14:textId="77777777" w:rsidR="003D7BFE" w:rsidRPr="005C7DE7" w:rsidRDefault="003D7BFE" w:rsidP="002942ED">
            <w:pPr>
              <w:spacing w:line="259" w:lineRule="auto"/>
              <w:rPr>
                <w:b/>
                <w:bCs/>
              </w:rPr>
            </w:pPr>
          </w:p>
          <w:p w14:paraId="4AD611E2" w14:textId="77777777" w:rsidR="003D7BFE" w:rsidRPr="005C7DE7" w:rsidRDefault="003D7BFE" w:rsidP="002942ED">
            <w:pPr>
              <w:spacing w:line="259" w:lineRule="auto"/>
              <w:rPr>
                <w:b/>
                <w:bCs/>
              </w:rPr>
            </w:pPr>
          </w:p>
          <w:p w14:paraId="1178D8F5" w14:textId="77777777" w:rsidR="003D7BFE" w:rsidRPr="005C7DE7" w:rsidRDefault="003D7BFE" w:rsidP="002942ED"/>
          <w:p w14:paraId="6427D7EA" w14:textId="77777777" w:rsidR="003D7BFE" w:rsidRPr="005C7DE7" w:rsidRDefault="003D7BFE" w:rsidP="002942ED"/>
          <w:p w14:paraId="67930C97" w14:textId="77777777" w:rsidR="003D7BFE" w:rsidRPr="005C7DE7" w:rsidRDefault="003D7BFE" w:rsidP="002942ED"/>
        </w:tc>
        <w:tc>
          <w:tcPr>
            <w:tcW w:w="3005" w:type="dxa"/>
          </w:tcPr>
          <w:p w14:paraId="0F56DBDE" w14:textId="0A0CF440" w:rsidR="00FC4BEB" w:rsidRPr="005C7DE7" w:rsidRDefault="00FC4BEB" w:rsidP="00FC4BEB">
            <w:r>
              <w:t xml:space="preserve">Level 4 </w:t>
            </w:r>
            <w:r w:rsidR="006E3E73">
              <w:t xml:space="preserve">Diploma </w:t>
            </w:r>
            <w:r>
              <w:t>or above qualification in counselling or psychotherapy</w:t>
            </w:r>
          </w:p>
          <w:p w14:paraId="5F4D1316" w14:textId="073551DD" w:rsidR="003D7BFE" w:rsidRPr="005C7DE7" w:rsidRDefault="003D7BFE" w:rsidP="002942ED"/>
        </w:tc>
        <w:tc>
          <w:tcPr>
            <w:tcW w:w="3006" w:type="dxa"/>
          </w:tcPr>
          <w:p w14:paraId="2AE21B12" w14:textId="5177F3C2" w:rsidR="003D7BFE" w:rsidRPr="005C7DE7" w:rsidRDefault="003D7BFE" w:rsidP="002942ED">
            <w:r>
              <w:t xml:space="preserve">Humanistic/PCT/Integrative </w:t>
            </w:r>
          </w:p>
        </w:tc>
      </w:tr>
      <w:tr w:rsidR="003D7BFE" w:rsidRPr="005C7DE7" w14:paraId="5DE1AE60" w14:textId="77777777" w:rsidTr="002942ED">
        <w:tc>
          <w:tcPr>
            <w:tcW w:w="3005" w:type="dxa"/>
          </w:tcPr>
          <w:p w14:paraId="78F77856" w14:textId="77777777" w:rsidR="003D7BFE" w:rsidRPr="005C7DE7" w:rsidRDefault="003D7BFE" w:rsidP="002942ED">
            <w:pPr>
              <w:rPr>
                <w:b/>
                <w:bCs/>
              </w:rPr>
            </w:pPr>
            <w:r w:rsidRPr="005C7DE7">
              <w:rPr>
                <w:b/>
                <w:bCs/>
              </w:rPr>
              <w:t>Experience</w:t>
            </w:r>
          </w:p>
          <w:p w14:paraId="48D06A49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7E8A53D9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1BBFAA2A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22EFCA54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6431AD6A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60D69E7D" w14:textId="77777777" w:rsidR="003D7BFE" w:rsidRPr="005C7DE7" w:rsidRDefault="003D7BFE" w:rsidP="002942E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70111A86" w14:textId="77777777" w:rsidR="006E3E73" w:rsidRDefault="006E3E73" w:rsidP="002942ED">
            <w:r w:rsidRPr="006E3E73">
              <w:t xml:space="preserve">To have been qualified for a minimum of two years and/ or completed in excess of 250 counselling hours with clients. </w:t>
            </w:r>
          </w:p>
          <w:p w14:paraId="2A0EE6DA" w14:textId="5D8C0D72" w:rsidR="006E3E73" w:rsidRDefault="006E3E73" w:rsidP="002942ED">
            <w:r>
              <w:t xml:space="preserve">Working with 18+ </w:t>
            </w:r>
          </w:p>
          <w:p w14:paraId="248AF93A" w14:textId="2EF822D3" w:rsidR="00FC4BEB" w:rsidRPr="005C7DE7" w:rsidRDefault="00FC4BEB" w:rsidP="006473BF"/>
        </w:tc>
        <w:tc>
          <w:tcPr>
            <w:tcW w:w="3006" w:type="dxa"/>
          </w:tcPr>
          <w:p w14:paraId="404575FC" w14:textId="77777777" w:rsidR="003D7BFE" w:rsidRDefault="003D7BFE" w:rsidP="002942ED">
            <w:r>
              <w:t>Working with vulnerable adults</w:t>
            </w:r>
          </w:p>
          <w:p w14:paraId="4D11B6A2" w14:textId="77777777" w:rsidR="006E3E73" w:rsidRDefault="006E3E73" w:rsidP="002942ED">
            <w:r w:rsidRPr="006E3E73">
              <w:t>Working as part of an agency</w:t>
            </w:r>
          </w:p>
          <w:p w14:paraId="3B984CC7" w14:textId="77777777" w:rsidR="006473BF" w:rsidRDefault="006473BF" w:rsidP="006473BF">
            <w:r>
              <w:t>Working online/telephone</w:t>
            </w:r>
          </w:p>
          <w:p w14:paraId="35C4E714" w14:textId="4FCEF346" w:rsidR="006473BF" w:rsidRPr="005C7DE7" w:rsidRDefault="006473BF" w:rsidP="002942ED"/>
        </w:tc>
      </w:tr>
      <w:tr w:rsidR="003D7BFE" w:rsidRPr="005C7DE7" w14:paraId="112EBE0A" w14:textId="77777777" w:rsidTr="002942ED">
        <w:tc>
          <w:tcPr>
            <w:tcW w:w="3005" w:type="dxa"/>
          </w:tcPr>
          <w:p w14:paraId="35EB8DFD" w14:textId="77777777" w:rsidR="003D7BFE" w:rsidRPr="005C7DE7" w:rsidRDefault="003D7BFE" w:rsidP="002942ED">
            <w:pPr>
              <w:rPr>
                <w:b/>
                <w:bCs/>
              </w:rPr>
            </w:pPr>
            <w:r w:rsidRPr="005C7DE7">
              <w:rPr>
                <w:b/>
                <w:bCs/>
              </w:rPr>
              <w:t>Knowledge/Skills</w:t>
            </w:r>
          </w:p>
          <w:p w14:paraId="28B2F914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750A49C2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26BC7AFC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27C6D16B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115CAE5F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2B9A2457" w14:textId="77777777" w:rsidR="003D7BFE" w:rsidRPr="005C7DE7" w:rsidRDefault="003D7BFE" w:rsidP="002942E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5370EF6D" w14:textId="77777777" w:rsidR="003D7BFE" w:rsidRDefault="003D7BFE" w:rsidP="002942ED">
            <w:r>
              <w:t>Listening skills, core conditions, boundaries, confidentiality.</w:t>
            </w:r>
          </w:p>
          <w:p w14:paraId="2E9E0FED" w14:textId="77777777" w:rsidR="003D7BFE" w:rsidRDefault="003D7BFE" w:rsidP="002942ED">
            <w:r>
              <w:t>Understanding of supervision</w:t>
            </w:r>
          </w:p>
          <w:p w14:paraId="00D5BD16" w14:textId="4FEE552F" w:rsidR="003D7BFE" w:rsidRPr="005C7DE7" w:rsidRDefault="00FC4BEB" w:rsidP="002942ED">
            <w:r>
              <w:t>Awareness of diversity and working with differences</w:t>
            </w:r>
          </w:p>
        </w:tc>
        <w:tc>
          <w:tcPr>
            <w:tcW w:w="3006" w:type="dxa"/>
          </w:tcPr>
          <w:p w14:paraId="22C39B22" w14:textId="77777777" w:rsidR="003D7BFE" w:rsidRDefault="003D7BFE" w:rsidP="002942ED">
            <w:r>
              <w:t>Experience of risk assessments</w:t>
            </w:r>
          </w:p>
          <w:p w14:paraId="45232C49" w14:textId="77777777" w:rsidR="003D7BFE" w:rsidRDefault="003D7BFE" w:rsidP="002942ED">
            <w:r>
              <w:t>Knowledge of safeguarding</w:t>
            </w:r>
          </w:p>
          <w:p w14:paraId="7166D60E" w14:textId="0546DE92" w:rsidR="003D7BFE" w:rsidRPr="005C7DE7" w:rsidRDefault="003D7BFE" w:rsidP="002942ED"/>
        </w:tc>
      </w:tr>
      <w:tr w:rsidR="003D7BFE" w:rsidRPr="005C7DE7" w14:paraId="43F43524" w14:textId="77777777" w:rsidTr="002942ED">
        <w:tc>
          <w:tcPr>
            <w:tcW w:w="3005" w:type="dxa"/>
          </w:tcPr>
          <w:p w14:paraId="493D4F49" w14:textId="77777777" w:rsidR="003D7BFE" w:rsidRPr="005C7DE7" w:rsidRDefault="003D7BFE" w:rsidP="002942ED">
            <w:pPr>
              <w:rPr>
                <w:b/>
                <w:bCs/>
              </w:rPr>
            </w:pPr>
            <w:r w:rsidRPr="005C7DE7">
              <w:rPr>
                <w:b/>
                <w:bCs/>
              </w:rPr>
              <w:t>Personal Qualities</w:t>
            </w:r>
          </w:p>
          <w:p w14:paraId="50179290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335E7F7F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4B4DF52A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08C337C9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443FC03C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5CBE89B3" w14:textId="77777777" w:rsidR="003D7BFE" w:rsidRPr="005C7DE7" w:rsidRDefault="003D7BFE" w:rsidP="002942E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14B571F2" w14:textId="77777777" w:rsidR="003D7BFE" w:rsidRDefault="003D7BFE" w:rsidP="002942ED">
            <w:r>
              <w:t xml:space="preserve">Time keeping, </w:t>
            </w:r>
            <w:proofErr w:type="spellStart"/>
            <w:r>
              <w:t>self awareness</w:t>
            </w:r>
            <w:proofErr w:type="spellEnd"/>
            <w:r>
              <w:t>, interpersonal skills, communication skills.</w:t>
            </w:r>
          </w:p>
          <w:p w14:paraId="0FE10332" w14:textId="77777777" w:rsidR="003D7BFE" w:rsidRPr="005C7DE7" w:rsidRDefault="003D7BFE" w:rsidP="002942ED">
            <w:r>
              <w:t>Ability to be present, core conditions</w:t>
            </w:r>
          </w:p>
        </w:tc>
        <w:tc>
          <w:tcPr>
            <w:tcW w:w="3006" w:type="dxa"/>
          </w:tcPr>
          <w:p w14:paraId="46444412" w14:textId="77777777" w:rsidR="003D7BFE" w:rsidRPr="005C7DE7" w:rsidRDefault="003D7BFE" w:rsidP="002942ED"/>
        </w:tc>
      </w:tr>
      <w:tr w:rsidR="003D7BFE" w:rsidRPr="005C7DE7" w14:paraId="5431ABC2" w14:textId="77777777" w:rsidTr="002942ED">
        <w:tc>
          <w:tcPr>
            <w:tcW w:w="3005" w:type="dxa"/>
          </w:tcPr>
          <w:p w14:paraId="0AA76E50" w14:textId="77777777" w:rsidR="003D7BFE" w:rsidRPr="005C7DE7" w:rsidRDefault="003D7BFE" w:rsidP="002942ED">
            <w:pPr>
              <w:rPr>
                <w:b/>
                <w:bCs/>
              </w:rPr>
            </w:pPr>
            <w:r w:rsidRPr="005C7DE7">
              <w:rPr>
                <w:b/>
                <w:bCs/>
              </w:rPr>
              <w:t>Other</w:t>
            </w:r>
          </w:p>
          <w:p w14:paraId="543FAA6F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297A4715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5305B38A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1CC596D7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63388A8C" w14:textId="77777777" w:rsidR="003D7BFE" w:rsidRPr="005C7DE7" w:rsidRDefault="003D7BFE" w:rsidP="002942ED">
            <w:pPr>
              <w:rPr>
                <w:b/>
                <w:bCs/>
              </w:rPr>
            </w:pPr>
          </w:p>
          <w:p w14:paraId="0B2811E7" w14:textId="77777777" w:rsidR="003D7BFE" w:rsidRPr="005C7DE7" w:rsidRDefault="003D7BFE" w:rsidP="002942ED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5BC8CBB" w14:textId="77777777" w:rsidR="003D7BFE" w:rsidRPr="005C7DE7" w:rsidRDefault="003D7BFE" w:rsidP="002942ED">
            <w:r>
              <w:t>Professional membership such as BACP/UKCP/NCPS</w:t>
            </w:r>
          </w:p>
        </w:tc>
        <w:tc>
          <w:tcPr>
            <w:tcW w:w="3006" w:type="dxa"/>
          </w:tcPr>
          <w:p w14:paraId="2D6F9EB4" w14:textId="77777777" w:rsidR="003D7BFE" w:rsidRDefault="003D7BFE" w:rsidP="002942ED">
            <w:r>
              <w:t>Any other languages</w:t>
            </w:r>
          </w:p>
          <w:p w14:paraId="2E281EC8" w14:textId="77777777" w:rsidR="003D7BFE" w:rsidRPr="005C7DE7" w:rsidRDefault="003D7BFE" w:rsidP="002942ED"/>
        </w:tc>
      </w:tr>
    </w:tbl>
    <w:p w14:paraId="109707CC" w14:textId="77777777" w:rsidR="003D7BFE" w:rsidRPr="005C7DE7" w:rsidRDefault="003D7BFE" w:rsidP="003D7BFE">
      <w:pPr>
        <w:rPr>
          <w:rFonts w:ascii="Arial" w:hAnsi="Arial" w:cs="Arial"/>
          <w:sz w:val="24"/>
          <w:szCs w:val="24"/>
        </w:rPr>
      </w:pPr>
    </w:p>
    <w:p w14:paraId="212ECEB6" w14:textId="77777777" w:rsidR="003D7BFE" w:rsidRDefault="003D7BFE" w:rsidP="001C5CEF">
      <w:pPr>
        <w:pStyle w:val="Default"/>
      </w:pPr>
    </w:p>
    <w:p w14:paraId="78F4AD58" w14:textId="77777777" w:rsidR="00817825" w:rsidRPr="00817825" w:rsidRDefault="00817825" w:rsidP="00817825"/>
    <w:p w14:paraId="0557F110" w14:textId="77777777" w:rsidR="00817825" w:rsidRDefault="00817825" w:rsidP="00817825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BDB8FB4" w14:textId="09364A49" w:rsidR="00817825" w:rsidRPr="00817825" w:rsidRDefault="00817825" w:rsidP="00817825">
      <w:pPr>
        <w:rPr>
          <w:bCs/>
        </w:rPr>
      </w:pPr>
      <w:r w:rsidRPr="00817825">
        <w:rPr>
          <w:bCs/>
        </w:rPr>
        <w:t>Updated 01.10.2024 Counselling Centre Manager</w:t>
      </w:r>
    </w:p>
    <w:sectPr w:rsidR="00817825" w:rsidRPr="0081782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B1B8D" w14:textId="77777777" w:rsidR="00184D6D" w:rsidRDefault="00184D6D" w:rsidP="006C633C">
      <w:pPr>
        <w:spacing w:after="0" w:line="240" w:lineRule="auto"/>
      </w:pPr>
      <w:r>
        <w:separator/>
      </w:r>
    </w:p>
  </w:endnote>
  <w:endnote w:type="continuationSeparator" w:id="0">
    <w:p w14:paraId="3EC03810" w14:textId="77777777" w:rsidR="00184D6D" w:rsidRDefault="00184D6D" w:rsidP="006C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8065F" w14:textId="62C44949" w:rsidR="006F06EC" w:rsidRPr="006F06EC" w:rsidRDefault="006F06EC" w:rsidP="006F06EC">
    <w:pPr>
      <w:pStyle w:val="Footer"/>
      <w:tabs>
        <w:tab w:val="clear" w:pos="4513"/>
        <w:tab w:val="clear" w:pos="9026"/>
        <w:tab w:val="left" w:pos="1530"/>
      </w:tabs>
      <w:rPr>
        <w:rFonts w:cstheme="minorHAnsi"/>
        <w:color w:val="074673"/>
      </w:rPr>
    </w:pPr>
    <w:r w:rsidRPr="006F06EC">
      <w:rPr>
        <w:rFonts w:cstheme="minorHAnsi"/>
        <w:color w:val="074673"/>
      </w:rPr>
      <w:t>Company Reg. No. 04894920 | Charity No. 1102628 | BACP Organisational Membership No. 100083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F74D0" w14:textId="77777777" w:rsidR="00184D6D" w:rsidRDefault="00184D6D" w:rsidP="006C633C">
      <w:pPr>
        <w:spacing w:after="0" w:line="240" w:lineRule="auto"/>
      </w:pPr>
      <w:r>
        <w:separator/>
      </w:r>
    </w:p>
  </w:footnote>
  <w:footnote w:type="continuationSeparator" w:id="0">
    <w:p w14:paraId="03C0A671" w14:textId="77777777" w:rsidR="00184D6D" w:rsidRDefault="00184D6D" w:rsidP="006C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0368C" w14:textId="060919F1" w:rsidR="00BA3280" w:rsidRDefault="00000000">
    <w:pPr>
      <w:pStyle w:val="Header"/>
    </w:pPr>
    <w:r>
      <w:rPr>
        <w:noProof/>
      </w:rPr>
      <w:pict w14:anchorId="2634E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49876" o:spid="_x0000_s1076" type="#_x0000_t75" style="position:absolute;margin-left:0;margin-top:0;width:451pt;height:350.4pt;z-index:-251656192;mso-position-horizontal:center;mso-position-horizontal-relative:margin;mso-position-vertical:center;mso-position-vertical-relative:margin" o:allowincell="f">
          <v:imagedata r:id="rId1" o:title="logo png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8637" w14:textId="67451282" w:rsidR="006C633C" w:rsidRPr="006F06EC" w:rsidRDefault="00DA2BA2" w:rsidP="006C633C">
    <w:pPr>
      <w:pStyle w:val="Header"/>
      <w:tabs>
        <w:tab w:val="left" w:pos="720"/>
        <w:tab w:val="right" w:pos="10080"/>
      </w:tabs>
      <w:rPr>
        <w:rFonts w:ascii="Calibri" w:hAnsi="Calibri" w:cs="Calibri"/>
        <w:b/>
        <w:noProof/>
        <w:color w:val="074673"/>
      </w:rPr>
    </w:pPr>
    <w:r>
      <w:rPr>
        <w:rFonts w:ascii="Calibri" w:hAnsi="Calibri" w:cs="Calibri"/>
        <w:b/>
        <w:noProof/>
        <w:color w:val="074673"/>
      </w:rPr>
      <w:drawing>
        <wp:anchor distT="0" distB="0" distL="114300" distR="114300" simplePos="0" relativeHeight="251662336" behindDoc="0" locked="0" layoutInCell="1" allowOverlap="1" wp14:anchorId="49ADD65D" wp14:editId="54AA8CFD">
          <wp:simplePos x="0" y="0"/>
          <wp:positionH relativeFrom="column">
            <wp:posOffset>2835910</wp:posOffset>
          </wp:positionH>
          <wp:positionV relativeFrom="paragraph">
            <wp:posOffset>-208280</wp:posOffset>
          </wp:positionV>
          <wp:extent cx="3636010" cy="1168400"/>
          <wp:effectExtent l="0" t="0" r="2540" b="0"/>
          <wp:wrapSquare wrapText="bothSides"/>
          <wp:docPr id="9255739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5739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10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633C" w:rsidRPr="006F06EC">
      <w:rPr>
        <w:rFonts w:ascii="Calibri" w:hAnsi="Calibri" w:cs="Calibri"/>
        <w:b/>
        <w:noProof/>
        <w:color w:val="074673"/>
      </w:rPr>
      <w:t>Carrs Lane Counselling Centre</w:t>
    </w:r>
    <w:r w:rsidR="006C633C" w:rsidRPr="006F06EC">
      <w:rPr>
        <w:rFonts w:ascii="Calibri" w:hAnsi="Calibri" w:cs="Calibri"/>
        <w:bCs/>
        <w:noProof/>
        <w:color w:val="074673"/>
      </w:rPr>
      <w:tab/>
    </w:r>
  </w:p>
  <w:p w14:paraId="67C09364" w14:textId="684CD99C" w:rsidR="006C633C" w:rsidRDefault="006C633C" w:rsidP="006C633C">
    <w:pPr>
      <w:pStyle w:val="Header"/>
      <w:tabs>
        <w:tab w:val="left" w:pos="720"/>
        <w:tab w:val="right" w:pos="10080"/>
      </w:tabs>
      <w:rPr>
        <w:rFonts w:ascii="Calibri" w:hAnsi="Calibri" w:cs="Calibri"/>
        <w:bCs/>
        <w:noProof/>
      </w:rPr>
    </w:pPr>
    <w:r>
      <w:rPr>
        <w:rFonts w:ascii="Calibri" w:hAnsi="Calibri" w:cs="Calibri"/>
        <w:bCs/>
        <w:noProof/>
      </w:rPr>
      <w:t>Carrs Lane, Birmingham, B4 7SX</w:t>
    </w:r>
  </w:p>
  <w:p w14:paraId="61E351FF" w14:textId="77777777" w:rsidR="006C633C" w:rsidRDefault="006C633C" w:rsidP="006C633C">
    <w:pPr>
      <w:pStyle w:val="Header"/>
      <w:tabs>
        <w:tab w:val="left" w:pos="720"/>
        <w:tab w:val="right" w:pos="10080"/>
      </w:tabs>
      <w:rPr>
        <w:rFonts w:ascii="Calibri" w:hAnsi="Calibri" w:cs="Calibri"/>
        <w:bCs/>
        <w:noProof/>
      </w:rPr>
    </w:pPr>
    <w:r>
      <w:rPr>
        <w:rFonts w:ascii="Calibri" w:hAnsi="Calibri" w:cs="Calibri"/>
        <w:bCs/>
        <w:noProof/>
      </w:rPr>
      <w:t>01216436363</w:t>
    </w:r>
  </w:p>
  <w:p w14:paraId="68CD8857" w14:textId="77777777" w:rsidR="006C633C" w:rsidRDefault="006C633C" w:rsidP="006C633C">
    <w:pPr>
      <w:pStyle w:val="Header"/>
      <w:tabs>
        <w:tab w:val="left" w:pos="720"/>
        <w:tab w:val="right" w:pos="10080"/>
      </w:tabs>
      <w:rPr>
        <w:rFonts w:ascii="Calibri" w:hAnsi="Calibri" w:cs="Calibri"/>
        <w:bCs/>
        <w:noProof/>
      </w:rPr>
    </w:pPr>
    <w:hyperlink r:id="rId2" w:history="1">
      <w:r>
        <w:rPr>
          <w:rStyle w:val="Hyperlink"/>
          <w:rFonts w:ascii="Calibri" w:hAnsi="Calibri" w:cs="Calibri"/>
          <w:bCs/>
          <w:noProof/>
        </w:rPr>
        <w:t>counselling@carrslanecounselling.co.uk</w:t>
      </w:r>
    </w:hyperlink>
  </w:p>
  <w:p w14:paraId="2FF4503E" w14:textId="77777777" w:rsidR="006C633C" w:rsidRDefault="006C633C" w:rsidP="006C633C">
    <w:pPr>
      <w:pStyle w:val="Header"/>
      <w:tabs>
        <w:tab w:val="left" w:pos="720"/>
        <w:tab w:val="right" w:pos="10080"/>
      </w:tabs>
      <w:rPr>
        <w:rFonts w:ascii="Calibri" w:hAnsi="Calibri" w:cs="Calibri"/>
        <w:bCs/>
        <w:noProof/>
      </w:rPr>
    </w:pPr>
    <w:hyperlink r:id="rId3" w:history="1">
      <w:r>
        <w:rPr>
          <w:rStyle w:val="Hyperlink"/>
          <w:rFonts w:ascii="Calibri" w:hAnsi="Calibri" w:cs="Calibri"/>
          <w:bCs/>
          <w:noProof/>
        </w:rPr>
        <w:t>www.carrslanecounselling.co.uk</w:t>
      </w:r>
    </w:hyperlink>
  </w:p>
  <w:p w14:paraId="5C32B16B" w14:textId="4BB9BEB3" w:rsidR="006C633C" w:rsidRDefault="006C6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9A17E" w14:textId="74643391" w:rsidR="00BA3280" w:rsidRDefault="00000000">
    <w:pPr>
      <w:pStyle w:val="Header"/>
    </w:pPr>
    <w:r>
      <w:rPr>
        <w:noProof/>
      </w:rPr>
      <w:pict w14:anchorId="431B3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49875" o:spid="_x0000_s1075" type="#_x0000_t75" style="position:absolute;margin-left:0;margin-top:0;width:451pt;height:350.4pt;z-index:-251657216;mso-position-horizontal:center;mso-position-horizontal-relative:margin;mso-position-vertical:center;mso-position-vertical-relative:margin" o:allowincell="f">
          <v:imagedata r:id="rId1" o:title="logo png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3C"/>
    <w:rsid w:val="000461AC"/>
    <w:rsid w:val="00094A6E"/>
    <w:rsid w:val="000D4B24"/>
    <w:rsid w:val="000D6A6D"/>
    <w:rsid w:val="00184D6D"/>
    <w:rsid w:val="001C5CEF"/>
    <w:rsid w:val="001D6517"/>
    <w:rsid w:val="00214758"/>
    <w:rsid w:val="002D6EC8"/>
    <w:rsid w:val="002F3A25"/>
    <w:rsid w:val="00360A6F"/>
    <w:rsid w:val="00394977"/>
    <w:rsid w:val="00396308"/>
    <w:rsid w:val="003D7BFE"/>
    <w:rsid w:val="003F3E8E"/>
    <w:rsid w:val="003F4A31"/>
    <w:rsid w:val="004754B5"/>
    <w:rsid w:val="005534D4"/>
    <w:rsid w:val="0059094C"/>
    <w:rsid w:val="006473BF"/>
    <w:rsid w:val="00654B67"/>
    <w:rsid w:val="00665977"/>
    <w:rsid w:val="006C1BBE"/>
    <w:rsid w:val="006C2CB3"/>
    <w:rsid w:val="006C3A1E"/>
    <w:rsid w:val="006C633C"/>
    <w:rsid w:val="006E3E73"/>
    <w:rsid w:val="006F06EC"/>
    <w:rsid w:val="00723C77"/>
    <w:rsid w:val="007B7AE7"/>
    <w:rsid w:val="00817825"/>
    <w:rsid w:val="008902A3"/>
    <w:rsid w:val="00965F39"/>
    <w:rsid w:val="009B38DA"/>
    <w:rsid w:val="009B6BD4"/>
    <w:rsid w:val="00A42B5C"/>
    <w:rsid w:val="00A80D33"/>
    <w:rsid w:val="00A95B6D"/>
    <w:rsid w:val="00AD33A2"/>
    <w:rsid w:val="00BA3280"/>
    <w:rsid w:val="00C83105"/>
    <w:rsid w:val="00CB42A3"/>
    <w:rsid w:val="00CF3BEE"/>
    <w:rsid w:val="00D8219B"/>
    <w:rsid w:val="00DA2BA2"/>
    <w:rsid w:val="00E67338"/>
    <w:rsid w:val="00EA7598"/>
    <w:rsid w:val="00ED5CA8"/>
    <w:rsid w:val="00F81EA6"/>
    <w:rsid w:val="00FC4BEB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52363"/>
  <w15:chartTrackingRefBased/>
  <w15:docId w15:val="{6C90A505-0882-4786-8025-60109C70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33C"/>
  </w:style>
  <w:style w:type="paragraph" w:styleId="Footer">
    <w:name w:val="footer"/>
    <w:basedOn w:val="Normal"/>
    <w:link w:val="FooterChar"/>
    <w:uiPriority w:val="99"/>
    <w:unhideWhenUsed/>
    <w:rsid w:val="006C6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33C"/>
  </w:style>
  <w:style w:type="character" w:styleId="Hyperlink">
    <w:name w:val="Hyperlink"/>
    <w:semiHidden/>
    <w:unhideWhenUsed/>
    <w:rsid w:val="006C633C"/>
    <w:rPr>
      <w:color w:val="0000FF"/>
      <w:u w:val="single"/>
    </w:rPr>
  </w:style>
  <w:style w:type="paragraph" w:customStyle="1" w:styleId="Default">
    <w:name w:val="Default"/>
    <w:rsid w:val="006C3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D7BFE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Fabowale</dc:creator>
  <cp:keywords/>
  <dc:description/>
  <cp:lastModifiedBy>Sandra Fabowale</cp:lastModifiedBy>
  <cp:revision>4</cp:revision>
  <cp:lastPrinted>2023-09-27T08:49:00Z</cp:lastPrinted>
  <dcterms:created xsi:type="dcterms:W3CDTF">2024-10-04T11:07:00Z</dcterms:created>
  <dcterms:modified xsi:type="dcterms:W3CDTF">2024-10-04T11:11:00Z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2023-06-05T11:45:25Z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97f9050a-85f9-44f8-8548-97744a95b4d4</vt:lpwstr>
  </property>
  <property fmtid="{D5CDD505-2E9C-101B-9397-08002B2CF9AE}" pid="7" name="MSIP_Label_defa4170-0d19-0005-0004-bc88714345d2_ActionId">
    <vt:lpwstr>c9139883-922d-4357-b193-5b92b5d34f2f</vt:lpwstr>
  </property>
  <property fmtid="{D5CDD505-2E9C-101B-9397-08002B2CF9AE}" pid="8" name="MSIP_Label_defa4170-0d19-0005-0004-bc88714345d2_ContentBits">
    <vt:lpwstr>0</vt:lpwstr>
  </property>
</Properties>
</file>